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w:t>
      </w:r>
    </w:p>
    <w:p>
      <w:r>
        <w:t>Bundesgericht (BGE), 1997-02-03, DE</w:t>
      </w:r>
    </w:p>
    <w:p>
      <w:r>
        <w:rPr>
          <w:b/>
        </w:rPr>
        <w:t xml:space="preserve">Quelle: </w:t>
      </w:r>
      <w:r>
        <w:t>https://mcp.opencaselaw.ch/entscheid/bge_123 I 1</w:t>
      </w:r>
    </w:p>
    <w:p>
      <w:r>
        <w:t>FR: ATF 123 I 1</w:t>
      </w:r>
    </w:p>
    <w:p>
      <w:r>
        <w:t>IT: DTF 123 I 1</w:t>
      </w:r>
    </w:p>
    <w:p>
      <w:pPr>
        <w:pStyle w:val="Heading2"/>
      </w:pPr>
      <w:r>
        <w:t>Regeste</w:t>
      </w:r>
    </w:p>
    <w:p>
      <w:r>
        <w:t>Regeste Art. 4 Abs. 1 BV, Art. 27 Abs. 2 BV; Lehrerbesoldung; Gesetzmässigkeitsprinzip; Rechtsgleichheit; Verhältnismässigkeitsprinzip. Bedeutung und Geltendmachung des Grundsatzes der Gesetzmässigkeit der Verwaltung (E. 2). Bestimmtheitsgebot für Besoldungsregelungen im öffentlichen Dienstrecht (E. 4). Ein mit der unterschiedlichen Vorbildung von Logopädinnen (Matura bzw. Lehrerpatent) begründeter Besoldungsunterschied von 8-9% verstösst nicht gegen Art. 4 Abs. 1 BV (E. 6). Auf Art. 27 Abs. 2 BV können sich die Schüler bzw. ihre Eltern berufen, aber nicht die Lehrer (E. 9). Das Verhältnismässigkeitsprinzip ist kein selbständiges verfassungsmässiges Recht (E. 10).</w:t>
      </w:r>
    </w:p>
    <w:p>
      <w:pPr>
        <w:pStyle w:val="Heading2"/>
      </w:pPr>
      <w:r>
        <w:t>Erwägungen</w:t>
      </w:r>
    </w:p>
    <w:p>
      <w:r>
        <w:rPr>
          <w:b/>
        </w:rPr>
        <w:t>E. 2</w:t>
      </w:r>
    </w:p>
    <w:p>
      <w:r>
        <w:t>Der Spezialunterricht wird in der Regel ebenfalls nach den Besoldungsbestimmungen für die Primarlehrerschaft im Verhältnis zur Stundenzahl besoldet.</w:t>
      </w:r>
    </w:p>
    <w:p>
      <w:r>
        <w:rPr>
          <w:b/>
        </w:rPr>
        <w:t>E. 3</w:t>
      </w:r>
    </w:p>
    <w:p>
      <w:r>
        <w:t>Die Beschwerdeführerin rügt eine Verletzung von Art. 26 Ziff. 14 und Art. 27 der bis Ende 1994 in Kraft gewesenen bernischen Staatsverfassung vom 4. Juni 1893 (aKV/BE). Art. 15 DbK entbehre einer formellgesetzlichen Grundlage und enthalte zudem, wenn er als Grundlage für die Besoldungskürzung herangezogen werden soll, eine unzulässige Delegation an die Erziehungsdirektion. a) Am 1. Januar 1995 ist die neue bernische Kantonsverfassung vom 6. Juni 1993 in Kraft getreten. Das angefochtene Urteil des Verwaltungsgerichts ist am 13. November 1995 ergangen, also bereits unter der Herrschaft der neuen Verfassung. Schafft eine Verfassungsreform eine neue, bisher fehlende Verfassungsgrundlage für eine Delegation, so kann ein bisher allenfalls verfassungswidriger delegierter Rechtsetzungsakt verfassungsmässig werden ( BGE 107 Ia 29 E. 2a S. 31 f.; ZBl 90/1989 S. 491, E. 4c). Dies gilt jedoch nur ex nunc; soweit die Beschwerdeführerin ein Besoldungsbegehren für die Zeit bis zum 31. Dezember 1994 gestellt hat, richtet sich die verfassungsrechtliche Zulässigkeit der beanstandeten Regelung nach der alten Kantonsverfassung. (E. 3b-e: Die Kürzung der Besoldung verstösst nicht gegen Art. 26 Ziff. 14 oder Art. 27 aKV/BE ).</w:t>
      </w:r>
    </w:p>
    <w:p>
      <w:r>
        <w:rPr>
          <w:b/>
        </w:rPr>
        <w:t>E. 4</w:t>
      </w:r>
    </w:p>
    <w:p>
      <w:r>
        <w:t>Soweit nicht eine Verletzung der verfassungsmässigen Zuständigkeitsordnung, sondern des rechtsstaatlich begründeten Bestimmtheitsgebots gerügt wird, beschränkt sich die Überpüfungsbefugnis des Bundesgerichts auf eine Willkürprüfung (E. 2b/c). a)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122 I 61 E. 3a S. 66 f.; BGE 121 I 113 E. 3a, S. 114; BGE 120 Ia 369 E. 3a S. 373). b) Das Legalitätsprinzip verlangt, dass die angewendeten Rechtssätze eine angemessene Bestimmtheit aufweisen müssen ( BGE 113 Ib 60 E. 3b S. 63 f.; DUBS, a.a.O., S. 225; RENÉ RHINOW/BEAT KRÄHENMANN, Schweizerische Verwaltungsrechtsprechung, Ergänzungsband, Basel 1990, S. 192). Das Gebot der Bestimmtheit kann nicht in absoluter Weise verstanden werden. Der Gesetzgeber kann nicht darauf verzichten, allgemeine Begriffe zu verwenden. Es ist unvermeidlich, dass viele Rechtssätze mehr oder minder vage Begriffe enthalten, deren Auslegung und Anwendung der Praxis überlassen werden muss ( BGE 117 Ia 472 E. 3e S. 479 f.). Der Grad der erforderlichen Bestimmtheit lässt sich nicht abstrakt festlegen. Eine besondere Bedeutung hat die BGE 123 I 1 S. 6 Forderung der Bestimmtheit bei Verhaltensnormen, die durch Androhung von Sanktionen unmittelbar ein bestimmtes Verhalten des Bürgers bewirken sollen (vgl. BGE 117 Ia 472 E. 3e S. 480; BGE 113 Ib 60 E. 3b S. 63), oder wenn eine Vielzahl von ähnlich gelagerten Entscheiden zu treffen sind. Umgekehrt sind die Anforderungen weniger streng, wenn unterschiedlich gelagerte Sachverhalte zu regeln sind, bei denen im Interesse einer sachgerechten Flexibilität oder der Einzelfallgerechtigkeit Differenzierungen im Anwendungsfall angebracht sind (DUBS, a.a.O., S. 244 f.; MOOR, a.a.O., S. 338 ff.; GEORG MÜLLER, Inhalt und Formen der Rechtssetzung als Problem der demokratischen Kompetenzordnung, Basel 1979, S. 83 ff.; SEILER, a.a.O., S. 333 f.). Unbestimmte Regelungen können insbesondere dann genügen, wenn ein Rechtsverhältnis zur Diskussion steht, welches die Betroffenen freiwillig eingegangen sind ( BGE 121 I 230 E. 3g/dd S. 239) oder bei dem die Rechte und Pflichten zwischen Staat und Privaten frei ausgehandelt werden können (nicht publiziertes Urteil des Bundesgerichts i.S. B. vom 21. November 1994, E. 3a). Schliesslich kann dem Bedürfnis nach Rechtsgleichheit auch durch eine gleichmässige und den besonderen Umständen Rechnung tragende Behördenpraxis entsprochen werden ( BGE 111 Ia 31 E. 4 S. 32). c) Die Rechte und Pflichten der öffentlichen Bediensteten, insbesondere deren Besoldung, sollen sich im Grundsatz ebenfalls aus einem (zumindest materiellen) Gesetz ergeben ( BGE 98 Ia 179 ). Doch ist nicht erforderlich, dass alle Einzelheiten durch Rechtssatz geregelt werden (Urteil des Bundesgerichts i.S. P. vom 23. März 1995, publiziert in SJ 1995 681, E. 3; HÄFELIN/MÜLLER, a.a.O., S. 90 Rz. 391). Eine gewisse Flexibilität ist im öffentlichen Dienstrecht unvermeidlich und zulässig. d) Vorliegend wird die Differenzierung der Besoldung nicht auf einzelfallrelevante Kriterien wie die individuellen Leistungen oder Fähigkeiten abgestützt. Vielmehr werden sämtliche Logopäden mit Matura als Vorbildung schlechter entlöhnt als diejenigen mit einem Lehrerpatent, was offenbar eine grössere Zahl von Personen betrifft. Eine rechtssatzmässige Regelung wäre somit ohne weiteres möglich und im Interesse der Rechtssicherheit und Vorhersehbarkeit auch erwünscht. Umgekehrt wird aber durch die Besoldungsregelung BGE 123 I 1 S. 7 nicht unmittelbar und hoheitlich ein sanktionierbares Verhalten vorgeschrieben. Vielmehr handelt es sich bei der Anstellung eines öffentlichen Bediensteten um einen mitwirkungsbedürftigen Verwaltungsakt. Der Lehrer hat - wie ein Arbeitnehmer in der Privatwirtschaft - die Wahl, die Stelle zu den gebotenen Bedingungen anzunehmen oder aber darauf zu verzichten und allenfalls eine Stelle in einem anderen Kanton oder in einer privaten Institution zu suchen, wo eine bessere Entlöhnung angeboten wird. Hinzu kommt, dass es der Erziehungsdirektion trotz der sehr weiten und unbestimmten Formulierung von Art. 15 Abs. 3 DbK nicht frei steht, jede beliebige Ausnahmeregelung zu treffen; vielmehr ist sie dabei an verfassungsmässige Rechte und Grundsätze, wie namentlich Art. 4 BV , gebunden. Es steht dem betroffenen Lehrer offen, mit einem individuellen Begehren die Verfassungsmässigkeit der konkreten Besoldung in Frage zu stellen, wie das die Beschwerdeführerin mit ihrem vorliegend zu beurteilenden Begehren auch getan hat. Art. 15 Abs. 3 DbK erlaubt somit eine gerichtlich überprüfbare verfassungskonforme Konkretisierung und verstösst daher trotz seiner erheblichen Unbestimmtheit jedenfalls nicht offensichtlich gegen das verfassungsrechtliche Bestimmtheitsgebot.</w:t>
      </w:r>
    </w:p>
    <w:p>
      <w:r>
        <w:rPr>
          <w:b/>
        </w:rPr>
        <w:t>E. 6</w:t>
      </w:r>
    </w:p>
    <w:p>
      <w:r>
        <w:t>Die Beschwerdeführerin rügt eine Verletzung der Rechtsgleichheit, da Logopäden mit Matura die gleiche Tätigkeit ausübten wie solche mit Primarlehrerpatent, so dass sich eine unterschiedliche Besoldung nicht rechtfertige. a) Eine Regelung verletzt den Grundsatz der Rechtsgleichheit und damit Art. 4 Abs. 1 BV , wenn sie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 BGE 121 I 102 E. 4a S. 104, mit Hinweisen). Das Bundesgericht übt eine gewisse Zurückhaltung und greift von Verfassungs wegen bloss ein, BGE 123 I 1 S. 8 wenn der Kanton mit den Unterscheidungen, die er trifft, eine Grenze zieht, die sich nicht vernünftig begründen lässt, die unhaltbar und damit in den meisten Fällen auch geradezu willkürlich ist ( BGE 114 Ia 221 E. 2b S. 224, mit Hinweisen; ULRICH HÄFELIN/WALTER HALLER, Schweizerisches Bundesstaatsrecht, 3. Aufl. Zürich 1993, S. 494). b) Ein grosser Ermessensspielraum der kantonalen Behörden besteht in besonderem Masse in Organisations- und Besoldungsfragen ( BGE 121 I 49 E. 3b S. 51, 102 E. 4a S. 104). Eine besondere Zurückhaltung des Verfassungsrichters drängt sich hier um so mehr auf, als es nicht nur um einen Vergleich zwischen zwei Kategorien von Berechtigten, sondern um das ganze Besoldungssystem geht; der Gesetzgeber oder Verfassungsrichter läuft daher stets Gefahr, neue Ungleichheiten zu schaffen, wenn er im Hinblick auf zwei Kategorien von Bediensteten Gleichheit erzielen will (vgl. BGE 120 Ia 329 E. 3 S. 333). Anders verhält es sich nur im Falle einer geschlechterbedingten Ungleichheit der Besoldung, wo gemäss Art. 4 Abs. 2 Satz 3 BV der Richter eine unbegründete Ungleichbehandlung ungeachtet der Auswirkungen auf das Besoldungssystem aufhebt ( BGE 117 Ia 262 E. 3c S. 267). Vorliegend wird jedoch nicht eine Verletzung von Art. 4 Abs. 2, sondern nur von Art. 4 Abs. 1 BV gerügt. c) Art. 4 Abs. 1 BV ist verletzt, wenn im öffentlichen Dienstverhältnis gleichwertige Arbeit ungleich entlöhnt wird ( BGE 121 I 49 E. 4c S. 53; 118 Ia 35 E. 2b S. 37; BGE 117 Ia 270 E. 2b S. 273).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 BGE 121 I 49 E. 4c S. 53 f., 102 E. 4c S. 105). Verfassungsrechtlich ist nicht verlangt, dass die Besoldung allein nach der Qualität der geleisteten Arbeit bzw. den tatsächlich gestellten Anforderungen bestimmt werden dürfe ( BGE 121 I 102 E. 4d/aa S. 106 f.). So hat das Bundesgericht erkannt, dass Art. 4 BV nicht verletzt ist, wenn Besoldungsunterschiede auf objektive Motive wie Alter, Dienstalter, Familienlasten, Qualifikation, Art und Dauer der Ausbildung, Arbeitszeit oder übernommene Verantwortlichkeiten zurückzuführen sind. Im Bereich der Lehrerbesoldungen sind auch Kriterien wie die notwendige Ausbildung, die Art der Schule, die Zahl der Unterrichtsstunden oder die Klassengrösse zulässig ( BGE 121 I 49 E. 4c S. 53). BGE 123 I 1 S. 9 d) In seiner bisherigen Praxis hat das Bundesgericht einen Besoldungsunterschied zwischen Primar- und Orientierungsschullehrern von fast 22% als mit Art. 4 BV vereinbar erklärt, weil letztere auf einer höheren Schulstufe unterrichten, eine längere Ausbildung absolvieren müssen, einen komplexeren Stoff und grössere disziplinarische Schwierigkeiten zu meistern haben ( BGE 121 I 49 E. 4c S. 53). Ebenso vermochte der Status-Unterschied zwischen Hauptlehrern und Lehrbeauftragten eine Besoldungsdifferenz von rund 6,6% bzw. rund 12% zu rechtfertigen ( BGE 121 I 102 E. 4d S. 106 f.; nicht veröffentlichtes Urteil i.S. B. vom 10. Dezember 1993, E. 5a/bb). Lediglich bei besonders lange dauernden Lehrauftragsverhältnissen hat das Bundesgericht in Aussicht gestellt, dass sich diese Ungleichbehandlung als verfassungswidrig erweisen könnte, sofern sich der Lehrbeauftragte hinsichtlich Ausbildung, Berufserfahrung, Verantwortung und Aufgabenbereich nicht von den Hauptlehrern unterscheidet (zit. Urteil i.S. B., E. 5a/dd). In einem nicht veröffentlichten Urteil vom 27. September 1996 hat das Bundesgericht eine Besoldungsdifferenz von 20-26% als noch vertretbar bezeichnet, die mit der unterschiedlichen Ausbildung (dreijährige Lehrerausbildung gegenüber Matura und anschliessendes Lizentiat) begründet wurde, wobei in bezug auf die Differenz ausschlaggebend war, dass sich die Funktionsbereiche von zwei Lehrerkategorien, die an sich für verschiedene Schultypen ausgebildet waren, nur punktuell für eine bestimmte Klasse überschnitten (nicht veröffentlichtes Urteil i.S. W. vom 27. September 1996, E. 2). Ferner wurde eine Besoldungsdifferenz von monatlich Fr. 250.-- bis Fr. 350.-- zwischen Primarlehrern und Arbeitslehrerinnen mit Unterschieden in der Länge und Breite der Ausbildung und der Höhe der gestellten Anforderungen gerechtfertigt ( BGE 117 Ia 270 E. 3/4, S. 274 ff.). e) Vorliegend beträgt der Besoldungsunterschied zwischen der Beschwerdeführerin und einer Logopädin mit Lehrerpatent 10% der Grundbesoldung. Wird die ganze Besoldung berücksichtigt, so beträgt die Differenz ca. 8-9%, da die Zulage für Sonderunterricht unterschiedslos ausgerichtet wird. Es ist nicht bestritten, dass die Beschwerdeführerin die gleiche Logopädieausbildung genossen hat und die gleiche Aufgabe versieht wie eine Logopädin mit Primarlehrerpatent. Als Rechtfertigung für die Ungleichbehandlung wird seitens des Kantons einzig die unterschiedliche Vorbildung (Lehrerpatent bzw. Matura) geltend gemacht. Das Verwaltungsgericht führt dazu aus, eine logopädische Lehrkraft mit Vorbildung BGE 123 I 1 S. 10 Primarlehrerpatent verfüge über ein breiteres Wissen und Verständnis für die übrigen schulischen Belange und Lerninhalte. Ihre auf die ganze Schulbildung bezogenen methodischen, didaktischen und pädagogischen Kenntnisse liessen einen besseren Erfolg auch im Spezialgebiet und eine optimale Zusammenarbeit innerhalb des Lehrkörpers erwarten. Zudem dauere die Vorbildung Primarlehrerpatent länger als die Vorbildung Matura. Diese Überlegungen sind objektiv und sachlich haltbar. f) Die Beschwerdeführerin bringt dagegen vor, Logopädie sei nicht der Erteilung von Schulunterricht gleichzustellen, sondern sei therapeutisch ausgerichtet, weshalb der sachliche Vorsprung von Primarlehrern gegenüber Maturanden für die Berufsausübung nicht von Bedeutung sei. Hinsichtlich der logopädisch relevanten Kenntnisse bestehe kein Unterschied zwischen Logopäden mit Matura und solchen mit einem Lehrerpatent. Das ergebe sich auch daraus, dass die bundessozialversicherungsrechtlichen Bestimmungen über Logopäden keine diesbezügliche Differenzierung treffen. g) Entgegen der Auffassung der Beschwerdeführerin ist für die Beurteilung der Besoldungsdifferenzierung durch den Kanton nicht erheblich, dass nach der Auffassung von logopädischen Ausbildungsstätten oder Berufsverbänden die Logopädie eine medizinische oder therapeutische Massnahme ist. Im Kanton Bern ist die Logopädie als Spezialunterricht zum ordentlichen Schulunterricht in das Schulsystem integriert und wird nicht als medizinische, sondern als schulische Tätigkeit betrachtet. Der Kanton ist zu dieser Regelung kraft seiner Hoheit im Schul- wie im Gesundheitswesen befugt. Demgemäss wäre es auch verfassungsrechtlich zulässig, für den logopädischen Unterricht nur Personen zuzulassen, die über eine Lehrerausbildung verfügen. Wenn der Kanton auch Logopäden anerkennt, die als Vorbildung eine Matura haben, so ist er deshalb nicht verpflichtet, sie besoldungsmässig gleich zu behandeln. Das Bundesgericht hat erkannt, dass Unterschiede in der Ausbildung besoldungsmässig berücksichtigt werden können, wenn eine bessere Ausbildung für die Ausübung einer Funktion von Nutzen ist ( BGE 117 Ia 270 E. 4a S. 276). Wird die Logopädie zulässigerweise als Teil der Schule betrachtet, so ist es haltbar, eine Lehrerausbildung als für die Ausübung des Logopädenberufs nützlich zu betrachten und dementsprechend besoldungsmässig zu berücksichtigen. Der Umstand, dass französischsprachige Logopäden offenbar gar nicht anders als über die Matura das Logopädiestudium absolvieren können, ändert daran nichts, da die Kantone nicht verfassungsrechtlich BGE 123 I 1 S. 11 verpflichtet sind, ihre Besoldungsregelungen an die Gestaltung ausserkantonaler Ausbildungslehrgänge anzupassen. h) Die Zulässigkeit von Besoldungsunterschieden ist auch eine Frage des Masses ( BGE 121 I 102 E. 4d/aa S. 107). Angesichts der quantitativen und qualitativen Unterschiede in der Vorbildung ist die Besoldungsdifferenz von fast 10% im Lichte der bisherigen Praxis des Bundesgerichts (vorne E. 6d) und aufgrund des den Kantonen zustehenden grossen Gestaltungsspielraumes noch als verfassungsrechtlich haltbar zu betrachten. i) Unerheblich ist schliesslich, dass die bundessozialversicherungsrechtlichen Regelungen keine Differenzierung zwischen Logopäden mit Matura und solchen mit Lehrerpatent kennen. Wenn der Bund im Rahmen seiner Zuständigkeiten eine bestimmte Regelung trifft, so heisst das nicht, dass der Kanton im Rahmen seiner Befugnisse daran gebunden wäre. k) Der Besoldungsunterschied zwischen der Beschwerdeführerin und einer Logopädin mit Lehrerpatent verstösst nach dem Gesagten nicht gegen das Rechtsgleichheitsgebot.</w:t>
      </w:r>
    </w:p>
    <w:p>
      <w:r>
        <w:rPr>
          <w:b/>
        </w:rPr>
        <w:t>E. 9</w:t>
      </w:r>
    </w:p>
    <w:p>
      <w:r>
        <w:t>Die Beschwerdeführerin rügt eine Verletzung von Art. 27 Abs. 2 BV . Auf diese Bestimmung können sich jedoch nur die Schüler bzw. ihre Eltern berufen, nicht hingegen die Lehrer (nicht publiziertes Urteil des Bundesgerichts i.S. B. vom 13. Januar 1982, E. 1). Zudem ist ein Primarschulunterricht nicht schon allein deshalb ungenügend im Sinne dieser Bestimmung, weil er von Lehrkräften erteilt wird, deren Gehalt niedriger ist als dasjenige anderer Lehrkräfte. Die Rüge ist offensichtlich unbegründet.</w:t>
      </w:r>
    </w:p>
    <w:p>
      <w:r>
        <w:rPr>
          <w:b/>
        </w:rPr>
        <w:t>E. 10</w:t>
      </w:r>
    </w:p>
    <w:p>
      <w:r>
        <w:t>Schliesslich rügt die Beschwerdeführerin eine Verletzung des Verhältnismässigkeitsprinzips. Das Verhältnismässigkeitsprinzip ist zwar ein verfassungsmässiges Prinzip, aber kein verfassungsmässiges Recht, dessen Verletzung der einzelne selbständig, ohne Zusammenhang mit der Anrufung eines besonderen Grundrechts, geltend machen kann (ZBl 95/1994 S. 264, E. 2b; ZBl 89/1988 S. 461, E. 2; KÄLIN, a.a.O., S. 69). Die Rüge der Verletzung der Verhältnismässigkeit hat deshalb nebst den bereits behandelten Rügen der Willkür und der Rechtsungleichheit keine selbständige Bedeutung ( BGE 102 Ia 69 E. 2 S.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